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48 vom 5. September 2024</w:t>
      </w:r>
    </w:p>
    <w:p>
      <w:r>
        <w:t>VS Kantonsgericht, 2024-09-05, FR</w:t>
      </w:r>
    </w:p>
    <w:p>
      <w:r>
        <w:rPr>
          <w:b/>
        </w:rPr>
        <w:t xml:space="preserve">Quelle: </w:t>
      </w:r>
      <w:r>
        <w:t>https://mcp.opencaselaw.ch/entscheid/vs_gerichte_S2 22 48</w:t>
      </w:r>
    </w:p>
    <w:p>
      <w:r>
        <w:t>FR: VS_GERICHTE S2 22 48 du 5 septembre 2024</w:t>
      </w:r>
    </w:p>
    <w:p>
      <w:r>
        <w:t>IT: VS_GERICHTE S2 22 48 del 5 settembre 2024</w:t>
      </w:r>
    </w:p>
    <w:p>
      <w:pPr>
        <w:pStyle w:val="Heading2"/>
      </w:pPr>
      <w:r>
        <w:t>Regeste</w:t>
      </w:r>
    </w:p>
    <w:p>
      <w:r>
        <w:t>S2 22 48 ARRÊT DU 5 SEPTEMBRE 2024 Tribunal cantonal du Valais Cour des assurances sociales Composition : Candido Prada, président ; Christophe Joris et Frédéric Fellay juges ; Garance Klay, greffière en la cause X _________, recourant, représenté par les Syndicats Chrétiens du Valais, Sion contre CAISSE NATIONALE SUISSE D'ASSURANCE EN CAS D'ACCIDENTS (CNA), intimée, représentés par Maître Didier Elsig, avocat, Lausanne (art. 18 LAA, rente d’invalidité ; détermination du revenu d’invalide)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13 juin 2022, le présent recours à l’encontre de la décision sur opposition du 11 mai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une rente d’invalidité LAA. Dans ce cadre, le recourant conteste uniquement son revenu d’invalide ; il estime pour sa part que sa situation professionnelle concrète aurait dû servir de base de référence ou, à défaut, que l’intimée aurait dû se fonder sur les données de l’ESS relatives à la branche 47 commerce de détail de l’ESS, mentionnant un salaire de 4963 fr. (homme, niveau 2).</w:t>
      </w:r>
    </w:p>
    <w:p>
      <w:r>
        <w:t>- 7 - 3.1 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3.2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3.2.1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w:t>
      </w:r>
    </w:p>
    <w:p>
      <w:r>
        <w:t>- 8 -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 322 consid. 4.1 ; arrêt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8C_733/2013 du</w:t>
      </w:r>
    </w:p>
    <w:p>
      <w:r>
        <w:rPr>
          <w:b/>
        </w:rPr>
        <w:t>E. 5</w:t>
      </w:r>
    </w:p>
    <w:p>
      <w:r>
        <w:t>septembre 2014 consid. 5 et la référence). 3.2.2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148 V 174 consid. 6.2, 139 V 592 consid. 2.3, 135 V 297 consid. 5.2 et 129 V 472 consid. 4.2.1 ; arrêts 8C_171/2021 du 11 décembre 2021 consid. 3.3 et 4.3, 9C_843/2015 du 7 avril 2016 consid. 5.2). Par ailleurs,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w:t>
      </w:r>
    </w:p>
    <w:p>
      <w:r>
        <w:t>- 9 - correspond en principe à celle lors de laquelle le droit éventuel à la rente prend naissance (ATF 134 V 322 consid. 4.1 et 129 V 222). Aux fins de déterminer le revenu d'invalide, le salaire fixé sur la base de l’ESS peut à certaines conditions faire l'objet d'un abattement de 25 % au plus (ATF 148 V 174 consid. 6.3; 129 V 472 consid. 4.2.3; 126 V 75 consid. 5b/aa-cc).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126 V 75 consid. 5b/bb; arrêt 8C_716/2021 du 12 octobre 2022 consid. 5.3 et les arrêts cités). 3.2.3 En l’occurrence, l’assuré a bénéficié d’un reclassement, à charge de l’AI, en qualité de conseiller de vente technico-commercial. Parallèlement à son reclassement « sur le tas » auprès de B _________ SA, ont été organisés des cours externes en bureautique, des cours professionnels de vente interne et externe ainsi que des cours DAO pour la conception de cuisines. Cette formation a par ailleurs été complétée afin que l’assuré puisse développer ses compétences dans l’immobilier par un cours Immostart +. A sa formation de vendeur, ont ainsi été ajouté des enseignements d’aspect technico- commercial. L’intégralité de cette formation a été planifiée sur une année, prolongée en raison du COVID-19, pour finalement durer du 1er octobre 2020 au 30 novembre 2021. A son terme, le conseiller en réadaptation de l’AI a constaté que le recourant disposait désormais de compétences théoriques et pratiques lui permettant de s’insérer sur le premier marché du travail comme conseiller de vente technico-commercial ; toujours selon les indications du conseiller en réadaptation, sa formation Immostart+ allait lui permettre d’élargir sensiblement son horizon professionnel également dans le domaine de l’immobilier. De facto, depuis décembre 2021, le recourant travaille chez B _________ SA comme « vendeur spécialisé en mobilier » ; son salaire est de 2250 fr. par mois. Cette activité est toutefois accomplie à 50% ; or, sa capacité de travail médico-théorique est de 100% dans une activité adaptée, de sorte qu’il ne met pas pleinement en valeur sa capacité de travail. En outre, il est employé comme vendeur de meubles alors que, sur la base des informations fournies par le conseiller à réadaptation de l’AI, la formation accomplie dans</w:t>
      </w:r>
    </w:p>
    <w:p>
      <w:r>
        <w:t>- 10 - le cadre de son reclassement, lui permettrait de briguer un poste de conseiller de vente technico-commercial pouvant concilier ses tâches de vendeur avec des tâches de conseil dans la conception de cuisines et/ou dans le domaine immobilier. Un tel profil à « double casquette » pourrait lui donner accès à des revenus supérieurs à celui acquis dans l’emploi concrètement accompli. A l’aune de ces données, le Tribunal ne saurait faire grief à l’intimée d’avoir fondé le revenu d’invalide sur les données de l’ESS et non sur l’activité concrètement accomplie. La Cour constate que l’intimée s’est référé aux données relatives à des activités spécialisées et techniques (branche 73-75 de l’ESS). A l’aune de la Nomenclature générale des activités économiques (NOGA 2008 ; cf. https://www.kubb- tool.bfs.admin.ch/fr), la section « activités spécialisées, scientifiques et techniques » citée aux branches 73-75 de l’ESS se réfère à des activités requérants un « niveau de formation élevé et apportant aux utilisateurs des connaissances et compétences spécialisées ». Cette rubrique comprend des services spécialisés et techniques d’assistance et conseil notamment pour la vérification de factures et l’information sur les tarifs de transport, pour les services de courtage et d’expertise autre que pour l’immobilier et les assurances, des services de conseil en environnement, de prévisions météorologiques, de conseil en sécurité, d’autres services scientifiques et techniques (par ex. mathématiciens, statisticiens, agronomes, experts-métreurs). Plus spécifiquement, la sous-catégorie « autres services, techniques et commerciaux » comprend les services de conseil spécialisés autres que ceux fournis dans l’immobilier, l’assurance et l’ingénierie ; par exemple, les services de conseil spécialisé dans le domaine de l’art, pour les tribunaux, etc., le service de gestion des droits d’auteurs, de gestion des droits de propriété industrielle. A l’aune de ces éléments, on constate que la section prise pour base de référence implique un niveau de formation et de compétence technique important qui n’a pas pu été acquis lors de la brève formation accomplie, majoritairement « sur le tas », par le recourant. En effet, même en tenant compte des très brèves connaissances théoriques complémentaires acquises dans le cadre des « blocs externes » (bureautique 1 et 2 à la HES-SO de Sierre, Cours professionnels de vente interne et externe à Arventis, cours DAO pour la conception de cuisines et cours « Immostart +), on ne saurait considérer que le recourant, sans expérience préalable, soit devenu un spécialiste en bureautique ou en agencement de cuisine, ni même en conseil immobilier. Globalement, sa formation ne lui a ainsi pas permis d’acquérir des connaissances suffisamment approfondies dans un domaine particulier pour justifier l’application de la rubrique « activités spécialisées,</w:t>
      </w:r>
    </w:p>
    <w:p>
      <w:r>
        <w:t>- 11 - scientifiques et techniques ». Son cursus ne saurait par ailleurs être assimilé à celui aboutissant au brevet fédéral d’agent technico-commercial. S’agissant du niveau de compétence, on peut par contre admettre qu’à l’aune de la formation accomplie, il ne se justifiait effectivement pas de se limiter au niveau 1, ce dernier correspondant à des tâches physiques simples ou manuelles, mais de se référer au niveau 2 de compétence (tâches pratiques telles que la vente). Le recourant ne conteste d’ailleurs plus ce dernier point. En conclusion, avec le recourant, le Tribunal constate ainsi que sa formation de conseiller de vente technico-commercial aurait dû être fixée à l’aune des données de l’ESS du chiffre 47 (commerce de détail), soit sur la base d’un salaire moyen de 4963 fr., soit de 59’556 fr./an (homme, niveau 2, réf. 2018). Adapté à l’évolution nominale des salaires jusqu’en 2021 (0% en 2019, + 0,2% en 2020 et -0,1% en 2021) et à un temps de travail hebdomadaire de 41.7 heures, il en résulte un salaire d’invalide 62’152 francs. Comparé à son revenu hypothétique non contesté de 79'560 fr., son taux d’invalide est dès lors de 22%, ce qui lui ouvre le droit à une rente LAA. Le recours doit dès lors être admis et une rente d’invalidité de 22% allouée au recourant dès le 1er décembre 2021, date du terme des mesures de réadaptation mises en œuvre par l’assurance-invalidité (art. 19 al. 1 LAA et pièce 119 du dossier CNA). 4.1 Il n’est pas perçu de frais, la LAA n’en prévoyant pas le prélèvement (art. 61 let. fbis LPGA). 4.2 Le recourant a droit à des dépens qui, vu l’issue de la cause, seront supportés par l’intimée (art. 61 let. g LPGA, art. 81a al. 2 et 91 al. 1 et 2 a contrario LPJA, art. 27 al. 1, 40 al. 1 et 46 al. 2 LTar). Une partie représentée par un conseil employé auprès d’une assurance de protection juridique, respectivement d’un syndicat, a également droit à une indemnité pour ses dépens (ATF 135 V 473 consid. 2.1 et 3.1 et les références, 126 V 11 consid. 2 et 122 V 278, VSI 1997 p. 33). Toutefois, une indemnisation distincte d'avocats employés par des associations d'une part et d'avocats exerçant leur métier en profession libérale d'autre part n'est pas arbitraire (SVR 1999 IV Nr 28). Dans le cadre d'un recours de droit public, il n’a pas été jugé arbitraire de traiter différemment le statut d'avocat indépendant de celui d'avocat employé par une assurance de protection juridique, au motif que ce dernier profite de l'infrastructure de l'assurance et de sa possibilité de faire de la publicité,</w:t>
      </w:r>
    </w:p>
    <w:p>
      <w:r>
        <w:t>- 12 - qu'il est dédommagé de manière appropriée pour son travail et que la société reçoit pour ses prestations des primes des assurés (ATF 120 Ia 169). Les Syndicats Chrétiens, conseil du recourant, ont produit en la présente cause un recours étayé, un courrier ainsi qu’une réplique. Compte tenu du temps utilement consacré par le conseil juridique dans l’affaire en question (art. 27 al. 1 LTar), les dépens réduits sont fixés à 1200 fr., débours et TVA compris (art. 27 al. 5 LTar).</w:t>
      </w:r>
    </w:p>
    <w:p>
      <w:r>
        <w:t>Prononce</w:t>
      </w:r>
    </w:p>
    <w:p>
      <w:r>
        <w:t>1. Le recours est admis. 2. X _________ est mis au bénéfice d’une rente LAA fondée sur un taux d’invalidité de 22% dès le 1er décembre 2021. 3. Il n'est pas perçu de frais. 4. La CNA versera à X _________ 1200 fr. pour ses dépens. Sion, le 5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